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45DF"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76371795" w14:textId="77777777" w:rsidR="006F6326" w:rsidRDefault="006F6326" w:rsidP="008A22C6"/>
    <w:tbl>
      <w:tblPr>
        <w:tblStyle w:val="TableGrid"/>
        <w:tblW w:w="9924" w:type="dxa"/>
        <w:tblInd w:w="-318" w:type="dxa"/>
        <w:tblLook w:val="04A0" w:firstRow="1" w:lastRow="0" w:firstColumn="1" w:lastColumn="0" w:noHBand="0" w:noVBand="1"/>
      </w:tblPr>
      <w:tblGrid>
        <w:gridCol w:w="3715"/>
        <w:gridCol w:w="6209"/>
      </w:tblGrid>
      <w:tr w:rsidR="006F6326" w14:paraId="6CF4DE73" w14:textId="77777777" w:rsidTr="00E97024">
        <w:tc>
          <w:tcPr>
            <w:tcW w:w="3715" w:type="dxa"/>
          </w:tcPr>
          <w:p w14:paraId="3A90B2C7"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6209" w:type="dxa"/>
          </w:tcPr>
          <w:p w14:paraId="722AEF9F" w14:textId="77777777" w:rsidR="00B87695" w:rsidRDefault="00A87C22" w:rsidP="00960744">
            <w:pPr>
              <w:rPr>
                <w:rFonts w:ascii="Arial" w:hAnsi="Arial" w:cs="Arial"/>
              </w:rPr>
            </w:pPr>
            <w:r w:rsidRPr="00A87C22">
              <w:rPr>
                <w:rFonts w:ascii="Arial" w:hAnsi="Arial" w:cs="Arial"/>
              </w:rPr>
              <w:t>Entering into a development agreement with Oxford City Housing (Development) Limited for the sale and construction of 90 units at Railway Lane</w:t>
            </w:r>
          </w:p>
          <w:p w14:paraId="5C275BAD" w14:textId="3CDFD63E" w:rsidR="003D5BE5" w:rsidRPr="00A96C08" w:rsidRDefault="003D5BE5" w:rsidP="00960744">
            <w:pPr>
              <w:rPr>
                <w:rFonts w:ascii="Arial" w:hAnsi="Arial" w:cs="Arial"/>
              </w:rPr>
            </w:pPr>
          </w:p>
        </w:tc>
      </w:tr>
      <w:tr w:rsidR="006F6326" w14:paraId="1FDA6FA2" w14:textId="77777777" w:rsidTr="00E97024">
        <w:tc>
          <w:tcPr>
            <w:tcW w:w="3715" w:type="dxa"/>
          </w:tcPr>
          <w:p w14:paraId="0906E37B"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6209" w:type="dxa"/>
          </w:tcPr>
          <w:p w14:paraId="6851A957" w14:textId="6983B81F" w:rsidR="00263039" w:rsidRPr="00A96C08" w:rsidRDefault="00CC3F0B" w:rsidP="008A22C6">
            <w:pPr>
              <w:rPr>
                <w:rFonts w:ascii="Arial" w:hAnsi="Arial" w:cs="Arial"/>
              </w:rPr>
            </w:pPr>
            <w:r>
              <w:rPr>
                <w:rFonts w:ascii="Arial" w:hAnsi="Arial" w:cs="Arial"/>
              </w:rPr>
              <w:t>20 August 2024</w:t>
            </w:r>
          </w:p>
        </w:tc>
      </w:tr>
      <w:tr w:rsidR="00854133" w14:paraId="55246646" w14:textId="77777777" w:rsidTr="00E97024">
        <w:tc>
          <w:tcPr>
            <w:tcW w:w="3715" w:type="dxa"/>
          </w:tcPr>
          <w:p w14:paraId="19F96B73" w14:textId="642E62D8" w:rsidR="00854133" w:rsidRPr="00854133" w:rsidRDefault="00854133" w:rsidP="002611EB">
            <w:pPr>
              <w:spacing w:before="120" w:after="120"/>
              <w:rPr>
                <w:rFonts w:ascii="Arial" w:hAnsi="Arial" w:cs="Arial"/>
              </w:rPr>
            </w:pPr>
            <w:r>
              <w:rPr>
                <w:rFonts w:ascii="Arial" w:hAnsi="Arial" w:cs="Arial"/>
                <w:b/>
              </w:rPr>
              <w:t>Source of delegation:</w:t>
            </w:r>
            <w:r>
              <w:rPr>
                <w:rFonts w:ascii="Arial" w:hAnsi="Arial" w:cs="Arial"/>
              </w:rPr>
              <w:t xml:space="preserve"> </w:t>
            </w:r>
          </w:p>
        </w:tc>
        <w:tc>
          <w:tcPr>
            <w:tcW w:w="6209" w:type="dxa"/>
          </w:tcPr>
          <w:p w14:paraId="109BED34" w14:textId="77777777" w:rsidR="00A87C22" w:rsidRDefault="00A87C22" w:rsidP="00A87C22">
            <w:pPr>
              <w:rPr>
                <w:rFonts w:ascii="Arial" w:hAnsi="Arial" w:cs="Arial"/>
              </w:rPr>
            </w:pPr>
            <w:bookmarkStart w:id="0" w:name="_Hlk175057483"/>
            <w:r>
              <w:rPr>
                <w:rFonts w:ascii="Arial" w:hAnsi="Arial" w:cs="Arial"/>
              </w:rPr>
              <w:t xml:space="preserve">Cabinet, on </w:t>
            </w:r>
            <w:hyperlink r:id="rId11" w:history="1">
              <w:r w:rsidRPr="00EC22F9">
                <w:rPr>
                  <w:rStyle w:val="Hyperlink"/>
                  <w:rFonts w:ascii="Arial" w:hAnsi="Arial" w:cs="Arial"/>
                </w:rPr>
                <w:t xml:space="preserve">14 </w:t>
              </w:r>
              <w:r w:rsidRPr="00EC22F9">
                <w:rPr>
                  <w:rStyle w:val="Hyperlink"/>
                  <w:rFonts w:ascii="Arial" w:hAnsi="Arial" w:cs="Arial"/>
                </w:rPr>
                <w:t>D</w:t>
              </w:r>
              <w:r w:rsidRPr="00EC22F9">
                <w:rPr>
                  <w:rStyle w:val="Hyperlink"/>
                  <w:rFonts w:ascii="Arial" w:hAnsi="Arial" w:cs="Arial"/>
                </w:rPr>
                <w:t>e</w:t>
              </w:r>
              <w:r w:rsidRPr="00EC22F9">
                <w:rPr>
                  <w:rStyle w:val="Hyperlink"/>
                  <w:rFonts w:ascii="Arial" w:hAnsi="Arial" w:cs="Arial"/>
                </w:rPr>
                <w:t>c</w:t>
              </w:r>
              <w:r w:rsidRPr="00EC22F9">
                <w:rPr>
                  <w:rStyle w:val="Hyperlink"/>
                  <w:rFonts w:ascii="Arial" w:hAnsi="Arial" w:cs="Arial"/>
                </w:rPr>
                <w:t>ember 2022</w:t>
              </w:r>
            </w:hyperlink>
            <w:r>
              <w:rPr>
                <w:rFonts w:ascii="Arial" w:hAnsi="Arial" w:cs="Arial"/>
              </w:rPr>
              <w:t xml:space="preserve"> (</w:t>
            </w:r>
            <w:hyperlink r:id="rId12" w:history="1">
              <w:r w:rsidRPr="00EC22F9">
                <w:rPr>
                  <w:rStyle w:val="Hyperlink"/>
                  <w:rFonts w:ascii="Arial" w:hAnsi="Arial" w:cs="Arial"/>
                </w:rPr>
                <w:t>Delivery of Affordable Housing (Railway Lane and Marston Paddock)</w:t>
              </w:r>
            </w:hyperlink>
            <w:r>
              <w:rPr>
                <w:rFonts w:ascii="Arial" w:hAnsi="Arial" w:cs="Arial"/>
              </w:rPr>
              <w:t>) resolved to:</w:t>
            </w:r>
          </w:p>
          <w:p w14:paraId="48E78FE0" w14:textId="77777777" w:rsidR="00A87C22" w:rsidRDefault="00A87C22" w:rsidP="00A87C22">
            <w:pPr>
              <w:rPr>
                <w:rFonts w:ascii="Arial" w:hAnsi="Arial" w:cs="Arial"/>
              </w:rPr>
            </w:pPr>
          </w:p>
          <w:p w14:paraId="76874FC0" w14:textId="77777777" w:rsidR="00A87C22" w:rsidRPr="00EC22F9" w:rsidRDefault="00A87C22" w:rsidP="00CC3F0B">
            <w:pPr>
              <w:pStyle w:val="ListParagraph"/>
              <w:numPr>
                <w:ilvl w:val="0"/>
                <w:numId w:val="8"/>
              </w:numPr>
              <w:ind w:left="382" w:hanging="382"/>
              <w:rPr>
                <w:rFonts w:ascii="Arial" w:hAnsi="Arial" w:cs="Arial"/>
              </w:rPr>
            </w:pPr>
            <w:r w:rsidRPr="00EC22F9">
              <w:rPr>
                <w:rFonts w:ascii="Arial" w:hAnsi="Arial" w:cs="Arial"/>
              </w:rPr>
              <w:t>Grant project approval for the continued acquisition of affordable dwellings developed by OCHL for which budgetary provision has been made in the Council’s Housing Revenue Account in respect of: (</w:t>
            </w:r>
            <w:proofErr w:type="spellStart"/>
            <w:r w:rsidRPr="00EC22F9">
              <w:rPr>
                <w:rFonts w:ascii="Arial" w:hAnsi="Arial" w:cs="Arial"/>
              </w:rPr>
              <w:t>i</w:t>
            </w:r>
            <w:proofErr w:type="spellEnd"/>
            <w:r w:rsidRPr="00EC22F9">
              <w:rPr>
                <w:rFonts w:ascii="Arial" w:hAnsi="Arial" w:cs="Arial"/>
              </w:rPr>
              <w:t xml:space="preserve">) Railway Lane, Littlemore (referenced in paragraphs 3 to 10 of this report) and (ii) Marston Paddock, Butts Lane, Old Marston; </w:t>
            </w:r>
            <w:r>
              <w:rPr>
                <w:rFonts w:ascii="Arial" w:hAnsi="Arial" w:cs="Arial"/>
              </w:rPr>
              <w:t>and</w:t>
            </w:r>
          </w:p>
          <w:p w14:paraId="400B6E9D" w14:textId="77777777" w:rsidR="00A87C22" w:rsidRDefault="00A87C22" w:rsidP="00CC3F0B">
            <w:pPr>
              <w:ind w:left="382" w:hanging="382"/>
              <w:rPr>
                <w:rFonts w:ascii="Arial" w:hAnsi="Arial" w:cs="Arial"/>
              </w:rPr>
            </w:pPr>
          </w:p>
          <w:p w14:paraId="6B24341C" w14:textId="66F01912" w:rsidR="00E97024" w:rsidRPr="00CC3F0B" w:rsidRDefault="00A87C22" w:rsidP="00CC3F0B">
            <w:pPr>
              <w:pStyle w:val="ListParagraph"/>
              <w:numPr>
                <w:ilvl w:val="0"/>
                <w:numId w:val="8"/>
              </w:numPr>
              <w:autoSpaceDE w:val="0"/>
              <w:autoSpaceDN w:val="0"/>
              <w:adjustRightInd w:val="0"/>
              <w:spacing w:line="259" w:lineRule="auto"/>
              <w:ind w:left="396" w:hanging="350"/>
              <w:rPr>
                <w:rFonts w:ascii="Arial" w:hAnsi="Arial" w:cs="Arial"/>
              </w:rPr>
            </w:pPr>
            <w:r w:rsidRPr="00CC3F0B">
              <w:rPr>
                <w:rFonts w:ascii="Arial" w:hAnsi="Arial" w:cs="Arial"/>
              </w:rPr>
              <w:t>Delegate authority to the Executive Director (Development), in consultation with the Executive Director (Communities and People), the Cabinet Member for Housing, the Head of Financial Services/ Section 151 Officer and the Head of Law and Governance, to enter into agreements and facilitate the agreed purchase by the Council of these developments, with all the affordable housing units from OCHL to be held in the HRA, within this project approval for the Railway Lane and Marston Paddock sites.</w:t>
            </w:r>
            <w:bookmarkEnd w:id="0"/>
          </w:p>
          <w:p w14:paraId="273C736A" w14:textId="7D3B687B" w:rsidR="00CC3F0B" w:rsidRPr="00CC3F0B" w:rsidRDefault="00CC3F0B" w:rsidP="00CC3F0B">
            <w:pPr>
              <w:autoSpaceDE w:val="0"/>
              <w:autoSpaceDN w:val="0"/>
              <w:adjustRightInd w:val="0"/>
              <w:spacing w:line="259" w:lineRule="auto"/>
              <w:rPr>
                <w:rFonts w:ascii="Arial" w:hAnsi="Arial" w:cs="Arial"/>
              </w:rPr>
            </w:pPr>
          </w:p>
        </w:tc>
      </w:tr>
      <w:tr w:rsidR="00B87695" w14:paraId="7532C5BD" w14:textId="77777777" w:rsidTr="00E97024">
        <w:tc>
          <w:tcPr>
            <w:tcW w:w="3715" w:type="dxa"/>
          </w:tcPr>
          <w:p w14:paraId="7074712E" w14:textId="41189994" w:rsidR="003B1236" w:rsidRPr="00B87695" w:rsidRDefault="00854133" w:rsidP="00C678ED">
            <w:pPr>
              <w:spacing w:before="120" w:after="120"/>
              <w:rPr>
                <w:rFonts w:ascii="Arial" w:hAnsi="Arial" w:cs="Arial"/>
                <w:b/>
              </w:rPr>
            </w:pPr>
            <w:r w:rsidRPr="00BE1FD4">
              <w:rPr>
                <w:rFonts w:ascii="Arial" w:hAnsi="Arial" w:cs="Arial"/>
                <w:b/>
              </w:rPr>
              <w:t>What decision was made?</w:t>
            </w:r>
            <w:r>
              <w:rPr>
                <w:rFonts w:ascii="Arial" w:hAnsi="Arial" w:cs="Arial"/>
                <w:b/>
              </w:rPr>
              <w:t xml:space="preserve"> </w:t>
            </w:r>
          </w:p>
        </w:tc>
        <w:tc>
          <w:tcPr>
            <w:tcW w:w="6209" w:type="dxa"/>
          </w:tcPr>
          <w:p w14:paraId="2EE826F9" w14:textId="77777777" w:rsidR="006247C4" w:rsidRDefault="00A87C22" w:rsidP="00CB5E4F">
            <w:pPr>
              <w:rPr>
                <w:rFonts w:ascii="Arial" w:hAnsi="Arial" w:cs="Arial"/>
              </w:rPr>
            </w:pPr>
            <w:bookmarkStart w:id="1" w:name="_Hlk175057553"/>
            <w:r w:rsidRPr="00A87C22">
              <w:rPr>
                <w:rFonts w:ascii="Arial" w:hAnsi="Arial" w:cs="Arial"/>
              </w:rPr>
              <w:t xml:space="preserve">To enter into a development agreement with Oxford City Housing (Development) Limited for the sale and construction of new homes at Railway Lane for the purpose of the delivery of 90 new affordable homes for the HRA.  The agreement is between OCC and OCH(D)L and supports OCH(D)L’s sale and development agreement with W.E Black Limited and </w:t>
            </w:r>
            <w:proofErr w:type="spellStart"/>
            <w:r w:rsidRPr="00A87C22">
              <w:rPr>
                <w:rFonts w:ascii="Arial" w:hAnsi="Arial" w:cs="Arial"/>
              </w:rPr>
              <w:t>Cantay</w:t>
            </w:r>
            <w:proofErr w:type="spellEnd"/>
            <w:r w:rsidRPr="00A87C22">
              <w:rPr>
                <w:rFonts w:ascii="Arial" w:hAnsi="Arial" w:cs="Arial"/>
              </w:rPr>
              <w:t xml:space="preserve"> Estates Limited.</w:t>
            </w:r>
          </w:p>
          <w:bookmarkEnd w:id="1"/>
          <w:p w14:paraId="3E26E52D" w14:textId="466BC16C" w:rsidR="00CC3F0B" w:rsidRPr="00A96C08" w:rsidRDefault="00CC3F0B" w:rsidP="00CB5E4F">
            <w:pPr>
              <w:rPr>
                <w:rFonts w:ascii="Arial" w:hAnsi="Arial" w:cs="Arial"/>
              </w:rPr>
            </w:pPr>
          </w:p>
        </w:tc>
      </w:tr>
      <w:tr w:rsidR="00373F5D" w14:paraId="48324036" w14:textId="77777777" w:rsidTr="00E97024">
        <w:tc>
          <w:tcPr>
            <w:tcW w:w="3715" w:type="dxa"/>
          </w:tcPr>
          <w:p w14:paraId="37D8CE0F" w14:textId="67C8AC1D" w:rsidR="00373F5D" w:rsidRPr="00373F5D" w:rsidRDefault="00373F5D" w:rsidP="00C678ED">
            <w:pPr>
              <w:spacing w:before="120" w:after="120"/>
              <w:rPr>
                <w:rFonts w:ascii="Arial" w:hAnsi="Arial" w:cs="Arial"/>
              </w:rPr>
            </w:pPr>
            <w:r>
              <w:rPr>
                <w:rFonts w:ascii="Arial" w:hAnsi="Arial" w:cs="Arial"/>
                <w:b/>
              </w:rPr>
              <w:t xml:space="preserve">Purpose: </w:t>
            </w:r>
          </w:p>
        </w:tc>
        <w:tc>
          <w:tcPr>
            <w:tcW w:w="6209" w:type="dxa"/>
          </w:tcPr>
          <w:p w14:paraId="0BB19468" w14:textId="77777777" w:rsidR="00960744" w:rsidRDefault="00A87C22" w:rsidP="00960744">
            <w:pPr>
              <w:rPr>
                <w:rFonts w:ascii="Arial" w:hAnsi="Arial" w:cs="Arial"/>
              </w:rPr>
            </w:pPr>
            <w:bookmarkStart w:id="2" w:name="_Hlk175057598"/>
            <w:r w:rsidRPr="00A87C22">
              <w:rPr>
                <w:rFonts w:ascii="Arial" w:hAnsi="Arial" w:cs="Arial"/>
              </w:rPr>
              <w:t>Cabinet, on 14 December 2022, gave project approval for the continued acquisition of affordable dwellings developed by OCH(D)L for which budgetary provision has been made in the Council’s Housing Revenue Account in respect of: (</w:t>
            </w:r>
            <w:proofErr w:type="spellStart"/>
            <w:r w:rsidRPr="00A87C22">
              <w:rPr>
                <w:rFonts w:ascii="Arial" w:hAnsi="Arial" w:cs="Arial"/>
              </w:rPr>
              <w:t>i</w:t>
            </w:r>
            <w:proofErr w:type="spellEnd"/>
            <w:r w:rsidRPr="00A87C22">
              <w:rPr>
                <w:rFonts w:ascii="Arial" w:hAnsi="Arial" w:cs="Arial"/>
              </w:rPr>
              <w:t>) Railway Lane, Littlemore and (ii) Marston Paddock, Butts Lane, Old Marston.  The decision enables the delivery of 90 affordable housing units at Railway Lane, contributing to the City Council’s affordable homes delivery programme</w:t>
            </w:r>
            <w:r w:rsidR="00CC3F0B">
              <w:rPr>
                <w:rFonts w:ascii="Arial" w:hAnsi="Arial" w:cs="Arial"/>
              </w:rPr>
              <w:t>.</w:t>
            </w:r>
          </w:p>
          <w:bookmarkEnd w:id="2"/>
          <w:p w14:paraId="1365EC98" w14:textId="00B06F7C" w:rsidR="00CC3F0B" w:rsidRPr="00A96C08" w:rsidRDefault="00CC3F0B" w:rsidP="00960744">
            <w:pPr>
              <w:rPr>
                <w:rFonts w:ascii="Arial" w:hAnsi="Arial" w:cs="Arial"/>
              </w:rPr>
            </w:pPr>
          </w:p>
        </w:tc>
      </w:tr>
      <w:tr w:rsidR="00DC2E8D" w14:paraId="097526D5" w14:textId="77777777" w:rsidTr="00E97024">
        <w:tc>
          <w:tcPr>
            <w:tcW w:w="3715" w:type="dxa"/>
          </w:tcPr>
          <w:p w14:paraId="4AD62BE9" w14:textId="187FBD36" w:rsidR="00DC2E8D" w:rsidRPr="008E4629" w:rsidRDefault="008E4629" w:rsidP="00C678ED">
            <w:pPr>
              <w:spacing w:before="120" w:after="120"/>
              <w:rPr>
                <w:rFonts w:ascii="Arial" w:hAnsi="Arial" w:cs="Arial"/>
              </w:rPr>
            </w:pPr>
            <w:r>
              <w:rPr>
                <w:rFonts w:ascii="Arial" w:hAnsi="Arial" w:cs="Arial"/>
                <w:b/>
              </w:rPr>
              <w:lastRenderedPageBreak/>
              <w:t>R</w:t>
            </w:r>
            <w:r w:rsidR="00DC2E8D">
              <w:rPr>
                <w:rFonts w:ascii="Arial" w:hAnsi="Arial" w:cs="Arial"/>
                <w:b/>
              </w:rPr>
              <w:t xml:space="preserve">easons: </w:t>
            </w:r>
          </w:p>
        </w:tc>
        <w:tc>
          <w:tcPr>
            <w:tcW w:w="6209" w:type="dxa"/>
          </w:tcPr>
          <w:p w14:paraId="5EF256F9" w14:textId="77777777" w:rsidR="00757726" w:rsidRDefault="00A87C22" w:rsidP="00757726">
            <w:pPr>
              <w:rPr>
                <w:rFonts w:ascii="Arial" w:hAnsi="Arial" w:cs="Arial"/>
              </w:rPr>
            </w:pPr>
            <w:bookmarkStart w:id="3" w:name="_Hlk175057620"/>
            <w:r w:rsidRPr="00A87C22">
              <w:rPr>
                <w:rFonts w:ascii="Arial" w:hAnsi="Arial" w:cs="Arial"/>
              </w:rPr>
              <w:t xml:space="preserve">The contract between OCC and OCH(D)L provides the legal underpinning of the acquisition of 90 homes at Railway Lane into the HRA. Subject to this contract being in place, OCH(D)L will enter a contract with W.E. Black Limited and </w:t>
            </w:r>
            <w:proofErr w:type="spellStart"/>
            <w:r w:rsidRPr="00A87C22">
              <w:rPr>
                <w:rFonts w:ascii="Arial" w:hAnsi="Arial" w:cs="Arial"/>
              </w:rPr>
              <w:t>Cantay</w:t>
            </w:r>
            <w:proofErr w:type="spellEnd"/>
            <w:r w:rsidRPr="00A87C22">
              <w:rPr>
                <w:rFonts w:ascii="Arial" w:hAnsi="Arial" w:cs="Arial"/>
              </w:rPr>
              <w:t xml:space="preserve"> Estates Limited to purchase the land and development of these 90 homes. These new homes form part of the OCH(D)L and HRA business plans, and as such meet both organisations’ objectives.</w:t>
            </w:r>
            <w:bookmarkEnd w:id="3"/>
            <w:r w:rsidRPr="00A87C22">
              <w:rPr>
                <w:rFonts w:ascii="Arial" w:hAnsi="Arial" w:cs="Arial"/>
              </w:rPr>
              <w:t xml:space="preserve">  </w:t>
            </w:r>
          </w:p>
          <w:p w14:paraId="155F70C0" w14:textId="369721A4" w:rsidR="00CC3F0B" w:rsidRPr="00A96C08" w:rsidRDefault="00CC3F0B" w:rsidP="00757726">
            <w:pPr>
              <w:rPr>
                <w:rFonts w:ascii="Arial" w:hAnsi="Arial" w:cs="Arial"/>
              </w:rPr>
            </w:pPr>
          </w:p>
        </w:tc>
      </w:tr>
      <w:tr w:rsidR="00B87695" w14:paraId="56F05351" w14:textId="77777777" w:rsidTr="00E97024">
        <w:tc>
          <w:tcPr>
            <w:tcW w:w="3715" w:type="dxa"/>
          </w:tcPr>
          <w:p w14:paraId="6E5F6BE1" w14:textId="12BF0A6C" w:rsidR="00B87695" w:rsidRPr="00B87695" w:rsidRDefault="00B87695" w:rsidP="00C678ED">
            <w:pPr>
              <w:spacing w:before="120" w:after="120"/>
              <w:rPr>
                <w:rFonts w:ascii="Arial" w:hAnsi="Arial" w:cs="Arial"/>
              </w:rPr>
            </w:pPr>
            <w:r w:rsidRPr="00B87695">
              <w:rPr>
                <w:rFonts w:ascii="Arial" w:hAnsi="Arial" w:cs="Arial"/>
                <w:b/>
              </w:rPr>
              <w:t xml:space="preserve">Decision made by: </w:t>
            </w:r>
          </w:p>
        </w:tc>
        <w:tc>
          <w:tcPr>
            <w:tcW w:w="6209" w:type="dxa"/>
          </w:tcPr>
          <w:p w14:paraId="5DBA80E9" w14:textId="3E3DC4B3" w:rsidR="00E97024" w:rsidRPr="00A96C08" w:rsidRDefault="00F318CB" w:rsidP="008A22C6">
            <w:pPr>
              <w:rPr>
                <w:rFonts w:ascii="Arial" w:hAnsi="Arial" w:cs="Arial"/>
              </w:rPr>
            </w:pPr>
            <w:r>
              <w:rPr>
                <w:rFonts w:ascii="Arial" w:hAnsi="Arial" w:cs="Arial"/>
              </w:rPr>
              <w:t>Tom Bridgman, Executive Director (Development)</w:t>
            </w:r>
          </w:p>
        </w:tc>
      </w:tr>
      <w:tr w:rsidR="006F6326" w14:paraId="0D997A2C" w14:textId="77777777" w:rsidTr="00E97024">
        <w:tc>
          <w:tcPr>
            <w:tcW w:w="3715" w:type="dxa"/>
          </w:tcPr>
          <w:p w14:paraId="5CB9411C" w14:textId="45FF926C"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p>
        </w:tc>
        <w:tc>
          <w:tcPr>
            <w:tcW w:w="6209" w:type="dxa"/>
          </w:tcPr>
          <w:p w14:paraId="25822D74" w14:textId="77777777" w:rsidR="00263039" w:rsidRDefault="00A87C22" w:rsidP="00960744">
            <w:pPr>
              <w:rPr>
                <w:rFonts w:ascii="Arial" w:hAnsi="Arial" w:cs="Arial"/>
              </w:rPr>
            </w:pPr>
            <w:bookmarkStart w:id="4" w:name="_Hlk175057645"/>
            <w:r w:rsidRPr="00A87C22">
              <w:rPr>
                <w:rFonts w:ascii="Arial" w:hAnsi="Arial" w:cs="Arial"/>
              </w:rPr>
              <w:t>Not to enter into the development agreement.  This option was rejected as it would not enable the delivery of 90 affordable housing units for the City Council / HRA</w:t>
            </w:r>
            <w:r w:rsidR="00CC3F0B">
              <w:rPr>
                <w:rFonts w:ascii="Arial" w:hAnsi="Arial" w:cs="Arial"/>
              </w:rPr>
              <w:t>.</w:t>
            </w:r>
          </w:p>
          <w:bookmarkEnd w:id="4"/>
          <w:p w14:paraId="4A03C496" w14:textId="0DD45309" w:rsidR="00CC3F0B" w:rsidRPr="00A96C08" w:rsidRDefault="00CC3F0B" w:rsidP="00960744">
            <w:pPr>
              <w:rPr>
                <w:rFonts w:ascii="Arial" w:hAnsi="Arial" w:cs="Arial"/>
              </w:rPr>
            </w:pPr>
          </w:p>
        </w:tc>
      </w:tr>
      <w:tr w:rsidR="006F6326" w14:paraId="776716EF" w14:textId="77777777" w:rsidTr="00906FBD">
        <w:tc>
          <w:tcPr>
            <w:tcW w:w="3715" w:type="dxa"/>
          </w:tcPr>
          <w:p w14:paraId="53F0AEFE" w14:textId="78A1141F"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p>
        </w:tc>
        <w:tc>
          <w:tcPr>
            <w:tcW w:w="6209" w:type="dxa"/>
          </w:tcPr>
          <w:p w14:paraId="617F78F9" w14:textId="77777777" w:rsidR="006F6326" w:rsidRDefault="00906FBD" w:rsidP="00906FBD">
            <w:pPr>
              <w:rPr>
                <w:rFonts w:ascii="Arial" w:hAnsi="Arial" w:cs="Arial"/>
              </w:rPr>
            </w:pPr>
            <w:hyperlink r:id="rId13" w:history="1">
              <w:r w:rsidRPr="00906FBD">
                <w:rPr>
                  <w:rStyle w:val="Hyperlink"/>
                  <w:rFonts w:ascii="Arial" w:hAnsi="Arial" w:cs="Arial"/>
                </w:rPr>
                <w:t xml:space="preserve">Report to </w:t>
              </w:r>
              <w:r w:rsidRPr="00906FBD">
                <w:rPr>
                  <w:rStyle w:val="Hyperlink"/>
                  <w:rFonts w:ascii="Arial" w:hAnsi="Arial" w:cs="Arial"/>
                </w:rPr>
                <w:t>C</w:t>
              </w:r>
              <w:r w:rsidRPr="00906FBD">
                <w:rPr>
                  <w:rStyle w:val="Hyperlink"/>
                  <w:rFonts w:ascii="Arial" w:hAnsi="Arial" w:cs="Arial"/>
                </w:rPr>
                <w:t>abinet</w:t>
              </w:r>
            </w:hyperlink>
            <w:r>
              <w:rPr>
                <w:rFonts w:ascii="Arial" w:hAnsi="Arial" w:cs="Arial"/>
              </w:rPr>
              <w:t>, 14 December 2022.</w:t>
            </w:r>
          </w:p>
          <w:p w14:paraId="53762B47" w14:textId="4464939B" w:rsidR="00906FBD" w:rsidRPr="00906FBD" w:rsidRDefault="00906FBD" w:rsidP="00906FBD">
            <w:pPr>
              <w:rPr>
                <w:rFonts w:ascii="Arial" w:hAnsi="Arial" w:cs="Arial"/>
              </w:rPr>
            </w:pPr>
          </w:p>
        </w:tc>
      </w:tr>
      <w:tr w:rsidR="006F6326" w14:paraId="70734B18" w14:textId="77777777" w:rsidTr="00E97024">
        <w:tc>
          <w:tcPr>
            <w:tcW w:w="3715" w:type="dxa"/>
          </w:tcPr>
          <w:p w14:paraId="48E7CE5A" w14:textId="568DCFC3"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p>
        </w:tc>
        <w:tc>
          <w:tcPr>
            <w:tcW w:w="6209" w:type="dxa"/>
          </w:tcPr>
          <w:p w14:paraId="7FE43286" w14:textId="77777777" w:rsidR="006F6326" w:rsidRPr="00A96C08" w:rsidRDefault="00A87C22" w:rsidP="008A22C6">
            <w:pPr>
              <w:rPr>
                <w:rFonts w:ascii="Arial" w:hAnsi="Arial" w:cs="Arial"/>
              </w:rPr>
            </w:pPr>
            <w:r>
              <w:rPr>
                <w:rFonts w:ascii="Arial" w:hAnsi="Arial" w:cs="Arial"/>
              </w:rPr>
              <w:t>Key</w:t>
            </w:r>
          </w:p>
        </w:tc>
      </w:tr>
      <w:tr w:rsidR="006F6326" w14:paraId="73FACAB7" w14:textId="77777777" w:rsidTr="00E97024">
        <w:tc>
          <w:tcPr>
            <w:tcW w:w="3715" w:type="dxa"/>
          </w:tcPr>
          <w:p w14:paraId="1214C0D9" w14:textId="19685844"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p>
        </w:tc>
        <w:tc>
          <w:tcPr>
            <w:tcW w:w="6209" w:type="dxa"/>
          </w:tcPr>
          <w:p w14:paraId="4136F250" w14:textId="77777777" w:rsidR="006F6326" w:rsidRPr="00A96C08" w:rsidRDefault="00A87C22" w:rsidP="008A22C6">
            <w:pPr>
              <w:rPr>
                <w:rFonts w:ascii="Arial" w:hAnsi="Arial" w:cs="Arial"/>
              </w:rPr>
            </w:pPr>
            <w:r>
              <w:rPr>
                <w:rFonts w:ascii="Arial" w:hAnsi="Arial" w:cs="Arial"/>
              </w:rPr>
              <w:t xml:space="preserve">None </w:t>
            </w:r>
          </w:p>
        </w:tc>
      </w:tr>
      <w:tr w:rsidR="006F6326" w14:paraId="033C62A0" w14:textId="77777777" w:rsidTr="00E97024">
        <w:tc>
          <w:tcPr>
            <w:tcW w:w="3715" w:type="dxa"/>
          </w:tcPr>
          <w:p w14:paraId="773FBEA5" w14:textId="530ED5CF" w:rsidR="006F6326" w:rsidRPr="006F6326" w:rsidRDefault="006F6326" w:rsidP="003534A4">
            <w:pPr>
              <w:spacing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6209" w:type="dxa"/>
          </w:tcPr>
          <w:p w14:paraId="6381BCFF" w14:textId="77777777" w:rsidR="006F6326" w:rsidRPr="00A96C08" w:rsidRDefault="00A87C22" w:rsidP="008A22C6">
            <w:pPr>
              <w:rPr>
                <w:rFonts w:ascii="Arial" w:hAnsi="Arial" w:cs="Arial"/>
              </w:rPr>
            </w:pPr>
            <w:r>
              <w:rPr>
                <w:rFonts w:ascii="Arial" w:hAnsi="Arial" w:cs="Arial"/>
              </w:rPr>
              <w:t>None</w:t>
            </w:r>
          </w:p>
        </w:tc>
      </w:tr>
      <w:tr w:rsidR="00B87695" w14:paraId="0357F357" w14:textId="77777777" w:rsidTr="003534A4">
        <w:tc>
          <w:tcPr>
            <w:tcW w:w="3715" w:type="dxa"/>
          </w:tcPr>
          <w:p w14:paraId="3EA03B63" w14:textId="77777777" w:rsidR="003505E0" w:rsidRDefault="003505E0" w:rsidP="003534A4">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241325B4" w14:textId="77777777" w:rsidR="003505E0" w:rsidRDefault="003505E0" w:rsidP="003534A4">
            <w:pPr>
              <w:spacing w:before="120"/>
              <w:rPr>
                <w:rFonts w:ascii="Arial" w:hAnsi="Arial" w:cs="Arial"/>
                <w:b/>
              </w:rPr>
            </w:pPr>
            <w:r w:rsidRPr="003505E0">
              <w:rPr>
                <w:rFonts w:ascii="Arial" w:hAnsi="Arial" w:cs="Arial"/>
                <w:b/>
              </w:rPr>
              <w:t>Name &amp; title:</w:t>
            </w:r>
          </w:p>
          <w:p w14:paraId="0D9A219E" w14:textId="77777777" w:rsidR="003505E0" w:rsidRDefault="003505E0" w:rsidP="003534A4">
            <w:pPr>
              <w:spacing w:before="120" w:after="120"/>
              <w:rPr>
                <w:rFonts w:ascii="Arial" w:hAnsi="Arial" w:cs="Arial"/>
                <w:b/>
              </w:rPr>
            </w:pPr>
            <w:r w:rsidRPr="003505E0">
              <w:rPr>
                <w:rFonts w:ascii="Arial" w:hAnsi="Arial" w:cs="Arial"/>
                <w:b/>
              </w:rPr>
              <w:t>Date:</w:t>
            </w:r>
          </w:p>
        </w:tc>
        <w:tc>
          <w:tcPr>
            <w:tcW w:w="6209" w:type="dxa"/>
            <w:vAlign w:val="center"/>
          </w:tcPr>
          <w:p w14:paraId="744594B5" w14:textId="137BBD68" w:rsidR="00A87C22" w:rsidRPr="00A87C22" w:rsidRDefault="00B84B7E" w:rsidP="00A87C22">
            <w:pPr>
              <w:rPr>
                <w:rFonts w:ascii="Arial" w:hAnsi="Arial" w:cs="Arial"/>
              </w:rPr>
            </w:pPr>
            <w:r>
              <w:rPr>
                <w:rFonts w:ascii="Arial" w:hAnsi="Arial" w:cs="Arial"/>
              </w:rPr>
              <w:t>Megan McFarlane</w:t>
            </w:r>
          </w:p>
          <w:p w14:paraId="449A7335" w14:textId="77777777" w:rsidR="00960744" w:rsidRDefault="00A87C22" w:rsidP="00A87C22">
            <w:pPr>
              <w:rPr>
                <w:rFonts w:ascii="Arial" w:hAnsi="Arial" w:cs="Arial"/>
              </w:rPr>
            </w:pPr>
            <w:r w:rsidRPr="00A87C22">
              <w:rPr>
                <w:rFonts w:ascii="Arial" w:hAnsi="Arial" w:cs="Arial"/>
              </w:rPr>
              <w:t xml:space="preserve">Affordable Housing Supply </w:t>
            </w:r>
            <w:r w:rsidR="00B84B7E">
              <w:rPr>
                <w:rFonts w:ascii="Arial" w:hAnsi="Arial" w:cs="Arial"/>
              </w:rPr>
              <w:t>Programme Officer</w:t>
            </w:r>
          </w:p>
          <w:p w14:paraId="2C66EB27" w14:textId="4A532713" w:rsidR="00B84B7E" w:rsidRPr="00A96C08" w:rsidRDefault="00B84B7E" w:rsidP="00A87C22">
            <w:pPr>
              <w:rPr>
                <w:rFonts w:ascii="Arial" w:hAnsi="Arial" w:cs="Arial"/>
              </w:rPr>
            </w:pPr>
            <w:r>
              <w:rPr>
                <w:rFonts w:ascii="Arial" w:hAnsi="Arial" w:cs="Arial"/>
              </w:rPr>
              <w:t>13</w:t>
            </w:r>
            <w:r w:rsidR="00CC3F0B">
              <w:rPr>
                <w:rFonts w:ascii="Arial" w:hAnsi="Arial" w:cs="Arial"/>
              </w:rPr>
              <w:t xml:space="preserve"> August 20</w:t>
            </w:r>
            <w:r>
              <w:rPr>
                <w:rFonts w:ascii="Arial" w:hAnsi="Arial" w:cs="Arial"/>
              </w:rPr>
              <w:t>24</w:t>
            </w:r>
          </w:p>
        </w:tc>
      </w:tr>
    </w:tbl>
    <w:p w14:paraId="601EFE9C" w14:textId="77777777" w:rsidR="002611EB" w:rsidRDefault="002611EB" w:rsidP="008A22C6"/>
    <w:p w14:paraId="494E11AE" w14:textId="730ED4BF" w:rsidR="004D6C38" w:rsidRDefault="004D6C38">
      <w:pPr>
        <w:rPr>
          <w:rFonts w:ascii="Arial" w:hAnsi="Arial" w:cs="Arial"/>
          <w:b/>
        </w:rPr>
      </w:pPr>
    </w:p>
    <w:p w14:paraId="36C91058" w14:textId="754092D6"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5A84D935" w14:textId="77777777" w:rsidR="005C60B2" w:rsidRPr="005C60B2" w:rsidRDefault="005C60B2" w:rsidP="005C60B2">
      <w:pPr>
        <w:rPr>
          <w:rFonts w:ascii="Arial" w:hAnsi="Arial" w:cs="Arial"/>
          <w:b/>
        </w:rPr>
      </w:pPr>
    </w:p>
    <w:tbl>
      <w:tblPr>
        <w:tblStyle w:val="TableGrid1"/>
        <w:tblW w:w="9923" w:type="dxa"/>
        <w:tblInd w:w="-289" w:type="dxa"/>
        <w:tblLook w:val="04A0" w:firstRow="1" w:lastRow="0" w:firstColumn="1" w:lastColumn="0" w:noHBand="0" w:noVBand="1"/>
      </w:tblPr>
      <w:tblGrid>
        <w:gridCol w:w="3420"/>
        <w:gridCol w:w="4682"/>
        <w:gridCol w:w="1821"/>
      </w:tblGrid>
      <w:tr w:rsidR="005C60B2" w:rsidRPr="005C60B2" w14:paraId="4EC5AEBE" w14:textId="77777777" w:rsidTr="00CC3F0B">
        <w:trPr>
          <w:trHeight w:val="516"/>
        </w:trPr>
        <w:tc>
          <w:tcPr>
            <w:tcW w:w="3420" w:type="dxa"/>
          </w:tcPr>
          <w:p w14:paraId="358DACE8" w14:textId="77777777" w:rsidR="005C60B2" w:rsidRPr="005C60B2" w:rsidRDefault="005C60B2" w:rsidP="005C60B2">
            <w:pPr>
              <w:spacing w:before="120" w:after="120"/>
              <w:rPr>
                <w:rFonts w:ascii="Arial" w:hAnsi="Arial" w:cs="Arial"/>
                <w:b/>
                <w:i/>
              </w:rPr>
            </w:pPr>
            <w:r w:rsidRPr="005C60B2">
              <w:rPr>
                <w:rFonts w:ascii="Arial" w:hAnsi="Arial" w:cs="Arial"/>
                <w:b/>
                <w:i/>
              </w:rPr>
              <w:t>Approver</w:t>
            </w:r>
          </w:p>
        </w:tc>
        <w:tc>
          <w:tcPr>
            <w:tcW w:w="4682" w:type="dxa"/>
            <w:vAlign w:val="center"/>
          </w:tcPr>
          <w:p w14:paraId="172F1447"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821" w:type="dxa"/>
            <w:vAlign w:val="center"/>
          </w:tcPr>
          <w:p w14:paraId="0429B306"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71963305" w14:textId="77777777" w:rsidTr="00CC3F0B">
        <w:trPr>
          <w:trHeight w:val="516"/>
        </w:trPr>
        <w:tc>
          <w:tcPr>
            <w:tcW w:w="3420" w:type="dxa"/>
            <w:vAlign w:val="center"/>
          </w:tcPr>
          <w:p w14:paraId="10CD8665" w14:textId="77777777" w:rsidR="005C60B2" w:rsidRDefault="005C60B2" w:rsidP="005C60B2">
            <w:pPr>
              <w:spacing w:before="120" w:after="120"/>
              <w:rPr>
                <w:rFonts w:ascii="Arial" w:hAnsi="Arial" w:cs="Arial"/>
                <w:b/>
              </w:rPr>
            </w:pPr>
            <w:r w:rsidRPr="005C60B2">
              <w:rPr>
                <w:rFonts w:ascii="Arial" w:hAnsi="Arial" w:cs="Arial"/>
                <w:b/>
              </w:rPr>
              <w:t xml:space="preserve">Decision maker </w:t>
            </w:r>
          </w:p>
          <w:p w14:paraId="37A97C3A" w14:textId="1B04A338" w:rsidR="005C60B2" w:rsidRPr="005C60B2" w:rsidRDefault="005C60B2" w:rsidP="005C60B2">
            <w:pPr>
              <w:spacing w:before="120" w:after="120"/>
              <w:rPr>
                <w:rFonts w:ascii="Arial" w:hAnsi="Arial" w:cs="Arial"/>
              </w:rPr>
            </w:pPr>
          </w:p>
        </w:tc>
        <w:tc>
          <w:tcPr>
            <w:tcW w:w="4682" w:type="dxa"/>
            <w:vAlign w:val="center"/>
          </w:tcPr>
          <w:p w14:paraId="1A24B6D3" w14:textId="77777777" w:rsidR="005C60B2" w:rsidRDefault="009E4561" w:rsidP="00A87C22">
            <w:pPr>
              <w:rPr>
                <w:rFonts w:ascii="Arial" w:hAnsi="Arial" w:cs="Arial"/>
              </w:rPr>
            </w:pPr>
            <w:r>
              <w:rPr>
                <w:rFonts w:ascii="Arial" w:hAnsi="Arial" w:cs="Arial"/>
              </w:rPr>
              <w:t xml:space="preserve">Tom Bridgman, </w:t>
            </w:r>
            <w:r w:rsidRPr="009E4561">
              <w:rPr>
                <w:rFonts w:ascii="Arial" w:hAnsi="Arial" w:cs="Arial"/>
              </w:rPr>
              <w:t>Executive Director (Development)</w:t>
            </w:r>
          </w:p>
          <w:p w14:paraId="7C0F8500" w14:textId="0D86706E" w:rsidR="00CC3F0B" w:rsidRPr="005C60B2" w:rsidRDefault="00CC3F0B" w:rsidP="00A87C22">
            <w:pPr>
              <w:rPr>
                <w:rFonts w:ascii="Arial" w:hAnsi="Arial" w:cs="Arial"/>
              </w:rPr>
            </w:pPr>
            <w:r w:rsidRPr="004D63E5">
              <w:rPr>
                <w:rFonts w:ascii="Arial" w:hAnsi="Arial" w:cs="Arial"/>
                <w:noProof/>
              </w:rPr>
              <w:drawing>
                <wp:inline distT="0" distB="0" distL="0" distR="0" wp14:anchorId="7993F324" wp14:editId="3BE39B59">
                  <wp:extent cx="2103302" cy="85351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03302" cy="853514"/>
                          </a:xfrm>
                          <a:prstGeom prst="rect">
                            <a:avLst/>
                          </a:prstGeom>
                        </pic:spPr>
                      </pic:pic>
                    </a:graphicData>
                  </a:graphic>
                </wp:inline>
              </w:drawing>
            </w:r>
          </w:p>
        </w:tc>
        <w:tc>
          <w:tcPr>
            <w:tcW w:w="1821" w:type="dxa"/>
            <w:vAlign w:val="center"/>
          </w:tcPr>
          <w:p w14:paraId="7A6E3939" w14:textId="620A1AA0" w:rsidR="005C60B2" w:rsidRPr="005C60B2" w:rsidRDefault="002014BE" w:rsidP="005C60B2">
            <w:pPr>
              <w:rPr>
                <w:rFonts w:ascii="Arial" w:hAnsi="Arial" w:cs="Arial"/>
              </w:rPr>
            </w:pPr>
            <w:r>
              <w:rPr>
                <w:rFonts w:ascii="Arial" w:hAnsi="Arial" w:cs="Arial"/>
              </w:rPr>
              <w:t>20</w:t>
            </w:r>
            <w:r w:rsidR="00CC3F0B">
              <w:rPr>
                <w:rFonts w:ascii="Arial" w:hAnsi="Arial" w:cs="Arial"/>
              </w:rPr>
              <w:t xml:space="preserve"> August 20</w:t>
            </w:r>
            <w:r>
              <w:rPr>
                <w:rFonts w:ascii="Arial" w:hAnsi="Arial" w:cs="Arial"/>
              </w:rPr>
              <w:t>24</w:t>
            </w:r>
          </w:p>
        </w:tc>
      </w:tr>
    </w:tbl>
    <w:p w14:paraId="2A3035A3" w14:textId="77777777" w:rsidR="005C60B2" w:rsidRPr="005C60B2" w:rsidRDefault="005C60B2" w:rsidP="005C60B2">
      <w:pPr>
        <w:rPr>
          <w:rFonts w:ascii="Arial" w:hAnsi="Arial" w:cs="Arial"/>
        </w:rPr>
      </w:pPr>
    </w:p>
    <w:p w14:paraId="16867A92" w14:textId="77777777" w:rsidR="005C60B2" w:rsidRPr="005C60B2" w:rsidRDefault="005C60B2" w:rsidP="005C60B2">
      <w:pPr>
        <w:rPr>
          <w:rFonts w:ascii="Arial" w:hAnsi="Arial" w:cs="Arial"/>
          <w:b/>
        </w:rPr>
      </w:pPr>
      <w:r w:rsidRPr="005C60B2">
        <w:rPr>
          <w:rFonts w:ascii="Arial" w:hAnsi="Arial" w:cs="Arial"/>
          <w:b/>
        </w:rPr>
        <w:t>Consultee checklist</w:t>
      </w:r>
    </w:p>
    <w:p w14:paraId="4018EA09" w14:textId="77777777" w:rsidR="005C60B2" w:rsidRPr="005C60B2" w:rsidRDefault="005C60B2" w:rsidP="005C60B2">
      <w:pPr>
        <w:rPr>
          <w:rFonts w:ascii="Arial" w:hAnsi="Arial" w:cs="Arial"/>
        </w:rPr>
      </w:pPr>
    </w:p>
    <w:tbl>
      <w:tblPr>
        <w:tblStyle w:val="TableGrid1"/>
        <w:tblW w:w="9923" w:type="dxa"/>
        <w:tblInd w:w="-289" w:type="dxa"/>
        <w:tblLook w:val="04A0" w:firstRow="1" w:lastRow="0" w:firstColumn="1" w:lastColumn="0" w:noHBand="0" w:noVBand="1"/>
      </w:tblPr>
      <w:tblGrid>
        <w:gridCol w:w="3403"/>
        <w:gridCol w:w="4536"/>
        <w:gridCol w:w="1984"/>
      </w:tblGrid>
      <w:tr w:rsidR="005C60B2" w:rsidRPr="005C60B2" w14:paraId="236F26CF" w14:textId="77777777" w:rsidTr="005C60B2">
        <w:trPr>
          <w:trHeight w:val="516"/>
        </w:trPr>
        <w:tc>
          <w:tcPr>
            <w:tcW w:w="3403" w:type="dxa"/>
          </w:tcPr>
          <w:p w14:paraId="16D7418D" w14:textId="77777777" w:rsidR="005C60B2" w:rsidRPr="005C60B2" w:rsidRDefault="005C60B2" w:rsidP="005C60B2">
            <w:pPr>
              <w:spacing w:before="120" w:after="120"/>
              <w:rPr>
                <w:rFonts w:ascii="Arial" w:hAnsi="Arial" w:cs="Arial"/>
                <w:b/>
                <w:i/>
              </w:rPr>
            </w:pPr>
            <w:r w:rsidRPr="005C60B2">
              <w:rPr>
                <w:rFonts w:ascii="Arial" w:hAnsi="Arial" w:cs="Arial"/>
                <w:b/>
                <w:i/>
              </w:rPr>
              <w:t>Consultees</w:t>
            </w:r>
          </w:p>
        </w:tc>
        <w:tc>
          <w:tcPr>
            <w:tcW w:w="4536" w:type="dxa"/>
            <w:vAlign w:val="center"/>
          </w:tcPr>
          <w:p w14:paraId="5AFA6F60"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548F95B5"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367C3A02" w14:textId="77777777" w:rsidTr="005C60B2">
        <w:trPr>
          <w:trHeight w:val="516"/>
        </w:trPr>
        <w:tc>
          <w:tcPr>
            <w:tcW w:w="3403" w:type="dxa"/>
            <w:vAlign w:val="center"/>
          </w:tcPr>
          <w:p w14:paraId="7A3095CF" w14:textId="77777777" w:rsidR="005C60B2" w:rsidRDefault="005C60B2" w:rsidP="005C60B2">
            <w:pPr>
              <w:spacing w:before="120" w:after="120"/>
              <w:rPr>
                <w:rFonts w:ascii="Arial" w:hAnsi="Arial" w:cs="Arial"/>
                <w:b/>
              </w:rPr>
            </w:pPr>
            <w:r w:rsidRPr="005C60B2">
              <w:rPr>
                <w:rFonts w:ascii="Arial" w:hAnsi="Arial" w:cs="Arial"/>
                <w:b/>
              </w:rPr>
              <w:t>Senior officer</w:t>
            </w:r>
          </w:p>
          <w:p w14:paraId="34F01266" w14:textId="6A22921B" w:rsidR="005C60B2" w:rsidRPr="005C60B2" w:rsidRDefault="005C60B2" w:rsidP="005C60B2">
            <w:pPr>
              <w:spacing w:before="120" w:after="120"/>
              <w:rPr>
                <w:rFonts w:ascii="Arial" w:hAnsi="Arial" w:cs="Arial"/>
              </w:rPr>
            </w:pPr>
          </w:p>
        </w:tc>
        <w:tc>
          <w:tcPr>
            <w:tcW w:w="4536" w:type="dxa"/>
            <w:vAlign w:val="center"/>
          </w:tcPr>
          <w:p w14:paraId="59254DF0" w14:textId="079E488D" w:rsidR="00B84B7E" w:rsidRPr="005C60B2" w:rsidRDefault="00B84B7E" w:rsidP="00A87C22">
            <w:pPr>
              <w:rPr>
                <w:rFonts w:ascii="Arial" w:hAnsi="Arial" w:cs="Arial"/>
              </w:rPr>
            </w:pPr>
            <w:r>
              <w:rPr>
                <w:rFonts w:ascii="Arial" w:hAnsi="Arial" w:cs="Arial"/>
              </w:rPr>
              <w:t>Nick Butcher,</w:t>
            </w:r>
            <w:r>
              <w:t xml:space="preserve"> </w:t>
            </w:r>
            <w:r w:rsidRPr="00B84B7E">
              <w:rPr>
                <w:rFonts w:ascii="Arial" w:hAnsi="Arial" w:cs="Arial"/>
              </w:rPr>
              <w:t>Affordable Housing Development Manager</w:t>
            </w:r>
            <w:r>
              <w:rPr>
                <w:rFonts w:ascii="Arial" w:hAnsi="Arial" w:cs="Arial"/>
              </w:rPr>
              <w:t xml:space="preserve"> (on behalf of </w:t>
            </w:r>
            <w:r w:rsidRPr="00A87C22">
              <w:rPr>
                <w:rFonts w:ascii="Arial" w:hAnsi="Arial" w:cs="Arial"/>
              </w:rPr>
              <w:t>Dave Scholes</w:t>
            </w:r>
            <w:r>
              <w:rPr>
                <w:rFonts w:ascii="Arial" w:hAnsi="Arial" w:cs="Arial"/>
              </w:rPr>
              <w:t xml:space="preserve">, </w:t>
            </w:r>
            <w:r w:rsidRPr="00A87C22">
              <w:rPr>
                <w:rFonts w:ascii="Arial" w:hAnsi="Arial" w:cs="Arial"/>
              </w:rPr>
              <w:t>Affordable Housing Supply Corporate Lead</w:t>
            </w:r>
            <w:r>
              <w:rPr>
                <w:rFonts w:ascii="Arial" w:hAnsi="Arial" w:cs="Arial"/>
              </w:rPr>
              <w:t>)</w:t>
            </w:r>
          </w:p>
        </w:tc>
        <w:tc>
          <w:tcPr>
            <w:tcW w:w="1984" w:type="dxa"/>
            <w:vAlign w:val="center"/>
          </w:tcPr>
          <w:p w14:paraId="072BCDA0" w14:textId="7D56D00A" w:rsidR="005C60B2" w:rsidRPr="005C60B2" w:rsidRDefault="00F318CB" w:rsidP="005C60B2">
            <w:pPr>
              <w:rPr>
                <w:rFonts w:ascii="Arial" w:hAnsi="Arial" w:cs="Arial"/>
              </w:rPr>
            </w:pPr>
            <w:r>
              <w:rPr>
                <w:rFonts w:ascii="Arial" w:hAnsi="Arial" w:cs="Arial"/>
              </w:rPr>
              <w:t>12</w:t>
            </w:r>
            <w:r w:rsidR="00CC3F0B">
              <w:rPr>
                <w:rFonts w:ascii="Arial" w:hAnsi="Arial" w:cs="Arial"/>
              </w:rPr>
              <w:t xml:space="preserve"> August 20</w:t>
            </w:r>
            <w:r>
              <w:rPr>
                <w:rFonts w:ascii="Arial" w:hAnsi="Arial" w:cs="Arial"/>
              </w:rPr>
              <w:t>24</w:t>
            </w:r>
          </w:p>
        </w:tc>
      </w:tr>
      <w:tr w:rsidR="009E4561" w:rsidRPr="005C60B2" w14:paraId="0ACED268" w14:textId="77777777" w:rsidTr="009E4561">
        <w:trPr>
          <w:trHeight w:val="1141"/>
        </w:trPr>
        <w:tc>
          <w:tcPr>
            <w:tcW w:w="3403" w:type="dxa"/>
            <w:vAlign w:val="center"/>
          </w:tcPr>
          <w:p w14:paraId="7DDBF5BB" w14:textId="5068F341" w:rsidR="009E4561" w:rsidRDefault="009E4561" w:rsidP="005C60B2">
            <w:pPr>
              <w:spacing w:before="120" w:after="120"/>
              <w:rPr>
                <w:rFonts w:ascii="Arial" w:hAnsi="Arial" w:cs="Arial"/>
                <w:b/>
              </w:rPr>
            </w:pPr>
            <w:r>
              <w:rPr>
                <w:rFonts w:ascii="Arial" w:hAnsi="Arial" w:cs="Arial"/>
                <w:b/>
              </w:rPr>
              <w:lastRenderedPageBreak/>
              <w:t>Executive Director</w:t>
            </w:r>
            <w:r w:rsidR="00F318CB">
              <w:rPr>
                <w:rFonts w:ascii="Arial" w:hAnsi="Arial" w:cs="Arial"/>
                <w:b/>
              </w:rPr>
              <w:t xml:space="preserve"> (Communities and People)</w:t>
            </w:r>
          </w:p>
          <w:p w14:paraId="0C4DB32B" w14:textId="06781AC7" w:rsidR="00F318CB" w:rsidRPr="005C60B2" w:rsidRDefault="00F318CB" w:rsidP="005C60B2">
            <w:pPr>
              <w:spacing w:before="120" w:after="120"/>
              <w:rPr>
                <w:rFonts w:ascii="Arial" w:hAnsi="Arial" w:cs="Arial"/>
                <w:b/>
              </w:rPr>
            </w:pPr>
          </w:p>
        </w:tc>
        <w:tc>
          <w:tcPr>
            <w:tcW w:w="4536" w:type="dxa"/>
            <w:vAlign w:val="center"/>
          </w:tcPr>
          <w:p w14:paraId="7B9348A9" w14:textId="1206A155" w:rsidR="00CC3F0B" w:rsidRDefault="009E4561" w:rsidP="00A87C22">
            <w:pPr>
              <w:rPr>
                <w:rFonts w:ascii="Arial" w:hAnsi="Arial" w:cs="Arial"/>
              </w:rPr>
            </w:pPr>
            <w:r>
              <w:rPr>
                <w:rFonts w:ascii="Arial" w:hAnsi="Arial" w:cs="Arial"/>
              </w:rPr>
              <w:t xml:space="preserve">Peter Matthew, </w:t>
            </w:r>
            <w:r w:rsidRPr="00170139">
              <w:rPr>
                <w:rFonts w:ascii="Arial" w:hAnsi="Arial" w:cs="Arial"/>
              </w:rPr>
              <w:t>Executive Director (Communities and People)</w:t>
            </w:r>
          </w:p>
          <w:p w14:paraId="1BDF2342" w14:textId="43B49BAC" w:rsidR="00CC3F0B" w:rsidRPr="00A87C22" w:rsidRDefault="00CC3F0B" w:rsidP="00A87C22">
            <w:pPr>
              <w:rPr>
                <w:rFonts w:ascii="Arial" w:hAnsi="Arial" w:cs="Arial"/>
              </w:rPr>
            </w:pPr>
            <w:r>
              <w:rPr>
                <w:noProof/>
              </w:rPr>
              <w:drawing>
                <wp:anchor distT="0" distB="0" distL="45720" distR="45720" simplePos="0" relativeHeight="251659264" behindDoc="0" locked="0" layoutInCell="1" allowOverlap="0" wp14:anchorId="02C4E6A3" wp14:editId="56D0A3D3">
                  <wp:simplePos x="0" y="0"/>
                  <wp:positionH relativeFrom="margin">
                    <wp:posOffset>-2540</wp:posOffset>
                  </wp:positionH>
                  <wp:positionV relativeFrom="line">
                    <wp:posOffset>207010</wp:posOffset>
                  </wp:positionV>
                  <wp:extent cx="1574800" cy="524510"/>
                  <wp:effectExtent l="0" t="0" r="635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800"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vAlign w:val="center"/>
          </w:tcPr>
          <w:p w14:paraId="5A585C03" w14:textId="2B65C123" w:rsidR="009E4561" w:rsidRPr="005C60B2" w:rsidRDefault="003534A4" w:rsidP="005C60B2">
            <w:pPr>
              <w:rPr>
                <w:rFonts w:ascii="Arial" w:hAnsi="Arial" w:cs="Arial"/>
              </w:rPr>
            </w:pPr>
            <w:r>
              <w:rPr>
                <w:rFonts w:ascii="Arial" w:hAnsi="Arial" w:cs="Arial"/>
              </w:rPr>
              <w:t>18</w:t>
            </w:r>
            <w:r w:rsidR="00CC3F0B">
              <w:rPr>
                <w:rFonts w:ascii="Arial" w:hAnsi="Arial" w:cs="Arial"/>
              </w:rPr>
              <w:t xml:space="preserve"> August 20</w:t>
            </w:r>
            <w:r>
              <w:rPr>
                <w:rFonts w:ascii="Arial" w:hAnsi="Arial" w:cs="Arial"/>
              </w:rPr>
              <w:t>24</w:t>
            </w:r>
          </w:p>
        </w:tc>
      </w:tr>
      <w:tr w:rsidR="005C60B2" w:rsidRPr="005C60B2" w14:paraId="10C67A59" w14:textId="77777777" w:rsidTr="005C60B2">
        <w:trPr>
          <w:trHeight w:val="1161"/>
        </w:trPr>
        <w:tc>
          <w:tcPr>
            <w:tcW w:w="3403" w:type="dxa"/>
          </w:tcPr>
          <w:p w14:paraId="56CA321F" w14:textId="77777777" w:rsidR="005C60B2" w:rsidRDefault="005C60B2" w:rsidP="005C60B2">
            <w:pPr>
              <w:spacing w:before="120"/>
              <w:rPr>
                <w:rFonts w:ascii="Arial" w:hAnsi="Arial" w:cs="Arial"/>
                <w:b/>
              </w:rPr>
            </w:pPr>
            <w:r w:rsidRPr="005C60B2">
              <w:rPr>
                <w:rFonts w:ascii="Arial" w:hAnsi="Arial" w:cs="Arial"/>
                <w:b/>
              </w:rPr>
              <w:t>Head of Financial Services</w:t>
            </w:r>
          </w:p>
          <w:p w14:paraId="25F1AF79" w14:textId="28FD47F8" w:rsidR="005C60B2" w:rsidRPr="005C60B2" w:rsidRDefault="005C60B2" w:rsidP="005C60B2">
            <w:pPr>
              <w:spacing w:before="120"/>
              <w:rPr>
                <w:rFonts w:ascii="Arial" w:hAnsi="Arial" w:cs="Arial"/>
              </w:rPr>
            </w:pPr>
          </w:p>
        </w:tc>
        <w:tc>
          <w:tcPr>
            <w:tcW w:w="4536" w:type="dxa"/>
            <w:vAlign w:val="center"/>
          </w:tcPr>
          <w:p w14:paraId="57D3FF05" w14:textId="77777777" w:rsidR="005C60B2" w:rsidRDefault="009E4561" w:rsidP="005C60B2">
            <w:pPr>
              <w:rPr>
                <w:rFonts w:ascii="Arial" w:hAnsi="Arial" w:cs="Arial"/>
              </w:rPr>
            </w:pPr>
            <w:r>
              <w:rPr>
                <w:rFonts w:ascii="Arial" w:hAnsi="Arial" w:cs="Arial"/>
              </w:rPr>
              <w:t xml:space="preserve">Nigel Kennedy, </w:t>
            </w:r>
            <w:r w:rsidRPr="00170139">
              <w:rPr>
                <w:rFonts w:ascii="Arial" w:hAnsi="Arial" w:cs="Arial"/>
              </w:rPr>
              <w:t>Head of Financial Services/ Section 151 Officer</w:t>
            </w:r>
          </w:p>
          <w:p w14:paraId="43E57120" w14:textId="7AEB402C" w:rsidR="00CC3F0B" w:rsidRPr="005C60B2" w:rsidRDefault="00CC3F0B" w:rsidP="005C60B2">
            <w:pPr>
              <w:rPr>
                <w:rFonts w:ascii="Arial" w:hAnsi="Arial" w:cs="Arial"/>
              </w:rPr>
            </w:pPr>
            <w:r w:rsidRPr="00EA6048">
              <w:rPr>
                <w:noProof/>
              </w:rPr>
              <w:drawing>
                <wp:inline distT="0" distB="0" distL="0" distR="0" wp14:anchorId="2E09E4A0" wp14:editId="4C94A5B7">
                  <wp:extent cx="1113155" cy="84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55" cy="842645"/>
                          </a:xfrm>
                          <a:prstGeom prst="rect">
                            <a:avLst/>
                          </a:prstGeom>
                          <a:noFill/>
                          <a:ln>
                            <a:noFill/>
                          </a:ln>
                        </pic:spPr>
                      </pic:pic>
                    </a:graphicData>
                  </a:graphic>
                </wp:inline>
              </w:drawing>
            </w:r>
          </w:p>
        </w:tc>
        <w:tc>
          <w:tcPr>
            <w:tcW w:w="1984" w:type="dxa"/>
            <w:vAlign w:val="center"/>
          </w:tcPr>
          <w:p w14:paraId="5431ACFE" w14:textId="42891AE9" w:rsidR="005C60B2" w:rsidRPr="005C60B2" w:rsidRDefault="003534A4" w:rsidP="005C60B2">
            <w:pPr>
              <w:rPr>
                <w:rFonts w:ascii="Arial" w:hAnsi="Arial" w:cs="Arial"/>
              </w:rPr>
            </w:pPr>
            <w:r>
              <w:rPr>
                <w:rFonts w:ascii="Arial" w:hAnsi="Arial" w:cs="Arial"/>
              </w:rPr>
              <w:t>16</w:t>
            </w:r>
            <w:r w:rsidR="00CC3F0B">
              <w:rPr>
                <w:rFonts w:ascii="Arial" w:hAnsi="Arial" w:cs="Arial"/>
              </w:rPr>
              <w:t xml:space="preserve"> August 20</w:t>
            </w:r>
            <w:r>
              <w:rPr>
                <w:rFonts w:ascii="Arial" w:hAnsi="Arial" w:cs="Arial"/>
              </w:rPr>
              <w:t>24</w:t>
            </w:r>
          </w:p>
        </w:tc>
      </w:tr>
      <w:tr w:rsidR="003534A4" w:rsidRPr="005C60B2" w14:paraId="38965A98" w14:textId="77777777" w:rsidTr="00D21743">
        <w:trPr>
          <w:trHeight w:val="834"/>
        </w:trPr>
        <w:tc>
          <w:tcPr>
            <w:tcW w:w="3403" w:type="dxa"/>
          </w:tcPr>
          <w:p w14:paraId="2950554A" w14:textId="77777777" w:rsidR="003534A4" w:rsidRDefault="003534A4" w:rsidP="003534A4">
            <w:pPr>
              <w:spacing w:before="120" w:after="120"/>
              <w:rPr>
                <w:rFonts w:ascii="Arial" w:hAnsi="Arial" w:cs="Arial"/>
                <w:b/>
              </w:rPr>
            </w:pPr>
            <w:r w:rsidRPr="005C60B2">
              <w:rPr>
                <w:rFonts w:ascii="Arial" w:hAnsi="Arial" w:cs="Arial"/>
                <w:b/>
              </w:rPr>
              <w:t xml:space="preserve">Head of Law and Governance </w:t>
            </w:r>
          </w:p>
          <w:p w14:paraId="09E4D120" w14:textId="20DA2B9F" w:rsidR="003534A4" w:rsidRPr="005C60B2" w:rsidRDefault="003534A4" w:rsidP="003534A4">
            <w:pPr>
              <w:spacing w:before="120" w:after="120"/>
              <w:rPr>
                <w:rFonts w:ascii="Arial" w:hAnsi="Arial" w:cs="Arial"/>
              </w:rPr>
            </w:pPr>
          </w:p>
        </w:tc>
        <w:tc>
          <w:tcPr>
            <w:tcW w:w="4536" w:type="dxa"/>
            <w:vAlign w:val="center"/>
          </w:tcPr>
          <w:p w14:paraId="5804E616" w14:textId="77777777" w:rsidR="003534A4" w:rsidRDefault="003534A4" w:rsidP="003534A4">
            <w:pPr>
              <w:rPr>
                <w:rFonts w:ascii="Arial" w:hAnsi="Arial" w:cs="Arial"/>
              </w:rPr>
            </w:pPr>
            <w:r>
              <w:rPr>
                <w:rFonts w:ascii="Arial" w:hAnsi="Arial" w:cs="Arial"/>
              </w:rPr>
              <w:t xml:space="preserve">Emma Jackman, Head of </w:t>
            </w:r>
            <w:proofErr w:type="gramStart"/>
            <w:r>
              <w:rPr>
                <w:rFonts w:ascii="Arial" w:hAnsi="Arial" w:cs="Arial"/>
              </w:rPr>
              <w:t>Law</w:t>
            </w:r>
            <w:proofErr w:type="gramEnd"/>
            <w:r>
              <w:rPr>
                <w:rFonts w:ascii="Arial" w:hAnsi="Arial" w:cs="Arial"/>
              </w:rPr>
              <w:t xml:space="preserve"> and Governance</w:t>
            </w:r>
          </w:p>
          <w:p w14:paraId="2ACCB16E" w14:textId="77777777" w:rsidR="00CC3F0B" w:rsidRDefault="00CC3F0B" w:rsidP="003534A4">
            <w:pPr>
              <w:rPr>
                <w:rFonts w:ascii="Arial" w:hAnsi="Arial" w:cs="Arial"/>
              </w:rPr>
            </w:pPr>
          </w:p>
          <w:p w14:paraId="2A3778EA" w14:textId="49D9BE70" w:rsidR="00CC3F0B" w:rsidRPr="005C60B2" w:rsidRDefault="00CC3F0B" w:rsidP="003534A4">
            <w:pPr>
              <w:rPr>
                <w:rFonts w:ascii="Arial" w:hAnsi="Arial" w:cs="Arial"/>
              </w:rPr>
            </w:pPr>
            <w:r>
              <w:rPr>
                <w:noProof/>
              </w:rPr>
              <w:drawing>
                <wp:inline distT="0" distB="0" distL="0" distR="0" wp14:anchorId="416BAD8C" wp14:editId="5AEDAC0C">
                  <wp:extent cx="2002246"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7854" cy="592204"/>
                          </a:xfrm>
                          <a:prstGeom prst="rect">
                            <a:avLst/>
                          </a:prstGeom>
                        </pic:spPr>
                      </pic:pic>
                    </a:graphicData>
                  </a:graphic>
                </wp:inline>
              </w:drawing>
            </w:r>
          </w:p>
        </w:tc>
        <w:tc>
          <w:tcPr>
            <w:tcW w:w="1984" w:type="dxa"/>
            <w:vAlign w:val="center"/>
          </w:tcPr>
          <w:p w14:paraId="2D267D01" w14:textId="634432F9" w:rsidR="003534A4" w:rsidRPr="005C60B2" w:rsidRDefault="003534A4" w:rsidP="003534A4">
            <w:pPr>
              <w:rPr>
                <w:rFonts w:ascii="Arial" w:hAnsi="Arial" w:cs="Arial"/>
              </w:rPr>
            </w:pPr>
            <w:r>
              <w:rPr>
                <w:rFonts w:ascii="Arial" w:hAnsi="Arial" w:cs="Arial"/>
              </w:rPr>
              <w:t>16</w:t>
            </w:r>
            <w:r w:rsidR="00CC3F0B">
              <w:rPr>
                <w:rFonts w:ascii="Arial" w:hAnsi="Arial" w:cs="Arial"/>
              </w:rPr>
              <w:t xml:space="preserve"> August 20</w:t>
            </w:r>
            <w:r>
              <w:rPr>
                <w:rFonts w:ascii="Arial" w:hAnsi="Arial" w:cs="Arial"/>
              </w:rPr>
              <w:t>24</w:t>
            </w:r>
          </w:p>
        </w:tc>
      </w:tr>
      <w:tr w:rsidR="003534A4" w:rsidRPr="005C60B2" w14:paraId="21DD672C" w14:textId="77777777" w:rsidTr="005C60B2">
        <w:trPr>
          <w:trHeight w:val="562"/>
        </w:trPr>
        <w:tc>
          <w:tcPr>
            <w:tcW w:w="3403" w:type="dxa"/>
            <w:vAlign w:val="center"/>
          </w:tcPr>
          <w:p w14:paraId="7B1E3AC7" w14:textId="6FFBD4FA" w:rsidR="00CC3F0B" w:rsidRPr="005C60B2" w:rsidRDefault="003534A4" w:rsidP="00CC3F0B">
            <w:pPr>
              <w:spacing w:before="120" w:after="120"/>
              <w:rPr>
                <w:rFonts w:ascii="Arial" w:hAnsi="Arial" w:cs="Arial"/>
              </w:rPr>
            </w:pPr>
            <w:r w:rsidRPr="005C60B2">
              <w:rPr>
                <w:rFonts w:ascii="Arial" w:hAnsi="Arial" w:cs="Arial"/>
                <w:b/>
              </w:rPr>
              <w:t>Cabinet Member</w:t>
            </w:r>
          </w:p>
          <w:p w14:paraId="51C1E206" w14:textId="4A646B4C" w:rsidR="003534A4" w:rsidRPr="005C60B2" w:rsidRDefault="003534A4" w:rsidP="003534A4">
            <w:pPr>
              <w:spacing w:before="120" w:after="120"/>
              <w:rPr>
                <w:rFonts w:ascii="Arial" w:hAnsi="Arial" w:cs="Arial"/>
              </w:rPr>
            </w:pPr>
          </w:p>
        </w:tc>
        <w:tc>
          <w:tcPr>
            <w:tcW w:w="4536" w:type="dxa"/>
            <w:vAlign w:val="center"/>
          </w:tcPr>
          <w:p w14:paraId="1608D23B" w14:textId="5E904453" w:rsidR="003534A4" w:rsidRPr="005C60B2" w:rsidRDefault="003534A4" w:rsidP="003534A4">
            <w:pPr>
              <w:rPr>
                <w:rFonts w:ascii="Arial" w:hAnsi="Arial" w:cs="Arial"/>
              </w:rPr>
            </w:pPr>
            <w:r w:rsidRPr="00A87C22">
              <w:rPr>
                <w:rFonts w:ascii="Arial" w:hAnsi="Arial" w:cs="Arial"/>
              </w:rPr>
              <w:t>C</w:t>
            </w:r>
            <w:r w:rsidR="00CC3F0B">
              <w:rPr>
                <w:rFonts w:ascii="Arial" w:hAnsi="Arial" w:cs="Arial"/>
              </w:rPr>
              <w:t>ouncillor</w:t>
            </w:r>
            <w:r w:rsidRPr="00A87C22">
              <w:rPr>
                <w:rFonts w:ascii="Arial" w:hAnsi="Arial" w:cs="Arial"/>
              </w:rPr>
              <w:t xml:space="preserve"> </w:t>
            </w:r>
            <w:r>
              <w:rPr>
                <w:rFonts w:ascii="Arial" w:hAnsi="Arial" w:cs="Arial"/>
              </w:rPr>
              <w:t>Linda Smith</w:t>
            </w:r>
            <w:r w:rsidRPr="00A87C22">
              <w:rPr>
                <w:rFonts w:ascii="Arial" w:hAnsi="Arial" w:cs="Arial"/>
              </w:rPr>
              <w:t>, Cabinet Member for Housing and Communities</w:t>
            </w:r>
          </w:p>
        </w:tc>
        <w:tc>
          <w:tcPr>
            <w:tcW w:w="1984" w:type="dxa"/>
            <w:vAlign w:val="center"/>
          </w:tcPr>
          <w:p w14:paraId="6B75D0F0" w14:textId="4F8A043E" w:rsidR="003534A4" w:rsidRPr="005C60B2" w:rsidRDefault="003534A4" w:rsidP="003534A4">
            <w:pPr>
              <w:rPr>
                <w:rFonts w:ascii="Arial" w:hAnsi="Arial" w:cs="Arial"/>
              </w:rPr>
            </w:pPr>
            <w:r>
              <w:rPr>
                <w:rFonts w:ascii="Arial" w:hAnsi="Arial" w:cs="Arial"/>
              </w:rPr>
              <w:t>16</w:t>
            </w:r>
            <w:r w:rsidR="00CC3F0B">
              <w:rPr>
                <w:rFonts w:ascii="Arial" w:hAnsi="Arial" w:cs="Arial"/>
              </w:rPr>
              <w:t xml:space="preserve"> August 20</w:t>
            </w:r>
            <w:r>
              <w:rPr>
                <w:rFonts w:ascii="Arial" w:hAnsi="Arial" w:cs="Arial"/>
              </w:rPr>
              <w:t>24</w:t>
            </w:r>
          </w:p>
        </w:tc>
      </w:tr>
    </w:tbl>
    <w:p w14:paraId="0AF60181" w14:textId="77777777" w:rsidR="005C60B2" w:rsidRPr="005C60B2" w:rsidRDefault="005C60B2" w:rsidP="005C60B2">
      <w:pPr>
        <w:ind w:left="-426"/>
        <w:rPr>
          <w:rFonts w:ascii="Arial" w:hAnsi="Arial" w:cs="Arial"/>
        </w:rPr>
      </w:pPr>
    </w:p>
    <w:p w14:paraId="1AA46FD5" w14:textId="77777777" w:rsidR="005C60B2" w:rsidRDefault="005C60B2" w:rsidP="002611EB">
      <w:pPr>
        <w:rPr>
          <w:rFonts w:ascii="Arial" w:hAnsi="Arial" w:cs="Arial"/>
          <w:b/>
        </w:rPr>
      </w:pPr>
    </w:p>
    <w:p w14:paraId="61251850" w14:textId="443D1EB2" w:rsidR="005C6416" w:rsidRPr="00B15340" w:rsidRDefault="005C6416" w:rsidP="005C6416">
      <w:pPr>
        <w:rPr>
          <w:rFonts w:ascii="Arial" w:hAnsi="Arial" w:cs="Arial"/>
        </w:rPr>
      </w:pPr>
    </w:p>
    <w:sectPr w:rsidR="005C6416" w:rsidRPr="00B15340" w:rsidSect="00532DF2">
      <w:footerReference w:type="default" r:id="rId18"/>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4794" w14:textId="77777777" w:rsidR="00C00872" w:rsidRDefault="00C00872" w:rsidP="00F11FD1">
      <w:r>
        <w:separator/>
      </w:r>
    </w:p>
  </w:endnote>
  <w:endnote w:type="continuationSeparator" w:id="0">
    <w:p w14:paraId="374FACF2" w14:textId="77777777" w:rsidR="00C00872" w:rsidRDefault="00C00872"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1618"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0A33" w14:textId="77777777" w:rsidR="00C00872" w:rsidRDefault="00C00872" w:rsidP="00F11FD1">
      <w:r>
        <w:separator/>
      </w:r>
    </w:p>
  </w:footnote>
  <w:footnote w:type="continuationSeparator" w:id="0">
    <w:p w14:paraId="7E830B70" w14:textId="77777777" w:rsidR="00C00872" w:rsidRDefault="00C00872" w:rsidP="00F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C8E"/>
    <w:multiLevelType w:val="hybridMultilevel"/>
    <w:tmpl w:val="76F05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818E4"/>
    <w:multiLevelType w:val="multilevel"/>
    <w:tmpl w:val="9056D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0525A"/>
    <w:multiLevelType w:val="hybridMultilevel"/>
    <w:tmpl w:val="1D2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957743">
    <w:abstractNumId w:val="6"/>
  </w:num>
  <w:num w:numId="2" w16cid:durableId="2050570948">
    <w:abstractNumId w:val="1"/>
  </w:num>
  <w:num w:numId="3" w16cid:durableId="213007477">
    <w:abstractNumId w:val="7"/>
  </w:num>
  <w:num w:numId="4" w16cid:durableId="1266227470">
    <w:abstractNumId w:val="2"/>
  </w:num>
  <w:num w:numId="5" w16cid:durableId="1810322577">
    <w:abstractNumId w:val="3"/>
  </w:num>
  <w:num w:numId="6" w16cid:durableId="2118480736">
    <w:abstractNumId w:val="5"/>
  </w:num>
  <w:num w:numId="7" w16cid:durableId="395972901">
    <w:abstractNumId w:val="4"/>
  </w:num>
  <w:num w:numId="8" w16cid:durableId="1721050133">
    <w:abstractNumId w:val="0"/>
  </w:num>
  <w:num w:numId="9" w16cid:durableId="772632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B4310"/>
    <w:rsid w:val="000D2140"/>
    <w:rsid w:val="000F4239"/>
    <w:rsid w:val="00110554"/>
    <w:rsid w:val="002014BE"/>
    <w:rsid w:val="00231385"/>
    <w:rsid w:val="002611EB"/>
    <w:rsid w:val="00263039"/>
    <w:rsid w:val="002A07C9"/>
    <w:rsid w:val="002B53D4"/>
    <w:rsid w:val="002E61DD"/>
    <w:rsid w:val="00335A9B"/>
    <w:rsid w:val="003505E0"/>
    <w:rsid w:val="003534A4"/>
    <w:rsid w:val="003547CD"/>
    <w:rsid w:val="00373F5D"/>
    <w:rsid w:val="003B1236"/>
    <w:rsid w:val="003D5BE5"/>
    <w:rsid w:val="004000D7"/>
    <w:rsid w:val="00405321"/>
    <w:rsid w:val="00424A92"/>
    <w:rsid w:val="004A049B"/>
    <w:rsid w:val="004B1944"/>
    <w:rsid w:val="004D6C38"/>
    <w:rsid w:val="00504E43"/>
    <w:rsid w:val="00532DF2"/>
    <w:rsid w:val="00563697"/>
    <w:rsid w:val="005C60B2"/>
    <w:rsid w:val="005C6416"/>
    <w:rsid w:val="005C7307"/>
    <w:rsid w:val="005E37E4"/>
    <w:rsid w:val="00616F3F"/>
    <w:rsid w:val="006247C4"/>
    <w:rsid w:val="006B1A11"/>
    <w:rsid w:val="006F6326"/>
    <w:rsid w:val="006F6731"/>
    <w:rsid w:val="007023AB"/>
    <w:rsid w:val="00757726"/>
    <w:rsid w:val="007908F4"/>
    <w:rsid w:val="007D270E"/>
    <w:rsid w:val="00801BEB"/>
    <w:rsid w:val="00804BF2"/>
    <w:rsid w:val="00834D72"/>
    <w:rsid w:val="00844D21"/>
    <w:rsid w:val="00854133"/>
    <w:rsid w:val="008613FB"/>
    <w:rsid w:val="008676E5"/>
    <w:rsid w:val="008900A7"/>
    <w:rsid w:val="00891B19"/>
    <w:rsid w:val="008A22C6"/>
    <w:rsid w:val="008E4629"/>
    <w:rsid w:val="00906FBD"/>
    <w:rsid w:val="00960744"/>
    <w:rsid w:val="00986C99"/>
    <w:rsid w:val="009E4561"/>
    <w:rsid w:val="009F048F"/>
    <w:rsid w:val="009F6401"/>
    <w:rsid w:val="00A12928"/>
    <w:rsid w:val="00A253FE"/>
    <w:rsid w:val="00A87C22"/>
    <w:rsid w:val="00A96C08"/>
    <w:rsid w:val="00AC5899"/>
    <w:rsid w:val="00AD3066"/>
    <w:rsid w:val="00B15340"/>
    <w:rsid w:val="00B84B7E"/>
    <w:rsid w:val="00B87695"/>
    <w:rsid w:val="00B928EF"/>
    <w:rsid w:val="00B97CAA"/>
    <w:rsid w:val="00BD4490"/>
    <w:rsid w:val="00BE1FD4"/>
    <w:rsid w:val="00BF240D"/>
    <w:rsid w:val="00BF4616"/>
    <w:rsid w:val="00C00872"/>
    <w:rsid w:val="00C07F80"/>
    <w:rsid w:val="00C251F7"/>
    <w:rsid w:val="00C6130E"/>
    <w:rsid w:val="00C678ED"/>
    <w:rsid w:val="00CB5E4F"/>
    <w:rsid w:val="00CC3F0B"/>
    <w:rsid w:val="00CD4BC9"/>
    <w:rsid w:val="00CE6085"/>
    <w:rsid w:val="00D33F83"/>
    <w:rsid w:val="00D543D9"/>
    <w:rsid w:val="00DB01D4"/>
    <w:rsid w:val="00DC2E8D"/>
    <w:rsid w:val="00DD1A34"/>
    <w:rsid w:val="00DD4885"/>
    <w:rsid w:val="00DD51B2"/>
    <w:rsid w:val="00E127E3"/>
    <w:rsid w:val="00E2036C"/>
    <w:rsid w:val="00E20A54"/>
    <w:rsid w:val="00E270E5"/>
    <w:rsid w:val="00E55AC5"/>
    <w:rsid w:val="00E97024"/>
    <w:rsid w:val="00E97F84"/>
    <w:rsid w:val="00F11FD1"/>
    <w:rsid w:val="00F318CB"/>
    <w:rsid w:val="00F64579"/>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2AC3"/>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87C22"/>
    <w:rPr>
      <w:rFonts w:ascii="Times New Roman" w:eastAsia="Times New Roman" w:hAnsi="Times New Roman" w:cs="Times New Roman"/>
      <w:lang w:eastAsia="en-GB"/>
    </w:rPr>
  </w:style>
  <w:style w:type="paragraph" w:customStyle="1" w:styleId="xmsonormal">
    <w:name w:val="x_msonormal"/>
    <w:basedOn w:val="Normal"/>
    <w:rsid w:val="00563697"/>
    <w:pPr>
      <w:spacing w:before="100" w:beforeAutospacing="1" w:after="100" w:afterAutospacing="1"/>
    </w:pPr>
  </w:style>
  <w:style w:type="character" w:styleId="UnresolvedMention">
    <w:name w:val="Unresolved Mention"/>
    <w:basedOn w:val="DefaultParagraphFont"/>
    <w:uiPriority w:val="99"/>
    <w:semiHidden/>
    <w:unhideWhenUsed/>
    <w:rsid w:val="00906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20669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ouncil.oxford.gov.uk/documents/s70866/Delivery%20of%20Affordable%20Housing%20Railway%20Lane%20and%20Marston%20Paddock.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council.oxford.gov.uk/documents/s70866/Delivery%20of%20Affordable%20Housing%20Railway%20Lane%20and%20Marston%20Paddock.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ouncil.oxford.gov.uk/ieListDocuments.aspx?CId=527&amp;MId=7392&amp;Ver=4"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13" ma:contentTypeDescription="Create a new document." ma:contentTypeScope="" ma:versionID="3753deed2dcd7b610455b4fd9c0e3c90">
  <xsd:schema xmlns:xsd="http://www.w3.org/2001/XMLSchema" xmlns:xs="http://www.w3.org/2001/XMLSchema" xmlns:p="http://schemas.microsoft.com/office/2006/metadata/properties" xmlns:ns2="fdb8f1d2-729e-4e17-b922-d1876d49c6d9" xmlns:ns3="ca0c6f25-960b-4ad0-86ba-4742c0ecca1e" targetNamespace="http://schemas.microsoft.com/office/2006/metadata/properties" ma:root="true" ma:fieldsID="57be56f3673856d357bcc5d4eef83565" ns2:_="" ns3:_="">
    <xsd:import namespace="fdb8f1d2-729e-4e17-b922-d1876d49c6d9"/>
    <xsd:import namespace="ca0c6f25-960b-4ad0-86ba-4742c0ecc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c6f25-960b-4ad0-86ba-4742c0ecc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00CE6-79FA-476C-9A2E-D225450303A8}">
  <ds:schemaRefs>
    <ds:schemaRef ds:uri="http://schemas.openxmlformats.org/officeDocument/2006/bibliography"/>
  </ds:schemaRefs>
</ds:datastoreItem>
</file>

<file path=customXml/itemProps2.xml><?xml version="1.0" encoding="utf-8"?>
<ds:datastoreItem xmlns:ds="http://schemas.openxmlformats.org/officeDocument/2006/customXml" ds:itemID="{A5E2DE83-4E8F-41D4-BB79-19F8A963AD5C}">
  <ds:schemaRefs>
    <ds:schemaRef ds:uri="http://schemas.microsoft.com/sharepoint/v3/contenttype/forms"/>
  </ds:schemaRefs>
</ds:datastoreItem>
</file>

<file path=customXml/itemProps3.xml><?xml version="1.0" encoding="utf-8"?>
<ds:datastoreItem xmlns:ds="http://schemas.openxmlformats.org/officeDocument/2006/customXml" ds:itemID="{CBE44EFC-F32B-466A-BEA4-9A944E55C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9A4F1-C207-4444-908C-8B7F3EA29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ca0c6f25-960b-4ad0-86ba-4742c0ecc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Emma LUND</cp:lastModifiedBy>
  <cp:revision>4</cp:revision>
  <cp:lastPrinted>2015-07-27T09:35:00Z</cp:lastPrinted>
  <dcterms:created xsi:type="dcterms:W3CDTF">2024-08-20T13:08:00Z</dcterms:created>
  <dcterms:modified xsi:type="dcterms:W3CDTF">2024-08-20T13:51:00Z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